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7E3C4" w14:textId="77777777" w:rsidR="00FA7EE4" w:rsidRPr="00BE24CC" w:rsidRDefault="00FA7EE4" w:rsidP="00FA7EE4">
      <w:pPr>
        <w:spacing w:after="0" w:line="276" w:lineRule="auto"/>
        <w:jc w:val="center"/>
        <w:rPr>
          <w:rFonts w:ascii="Montserrat ExtraBold" w:hAnsi="Montserrat ExtraBold"/>
          <w:color w:val="EF3340"/>
          <w:lang w:val="en-GB"/>
        </w:rPr>
      </w:pPr>
      <w:r w:rsidRPr="00BE24CC">
        <w:rPr>
          <w:rFonts w:ascii="Montserrat ExtraBold" w:hAnsi="Montserrat ExtraBold"/>
          <w:color w:val="EF3340"/>
          <w:lang w:val="en-GB"/>
        </w:rPr>
        <w:t>International First Aid Attestation (IFAA)</w:t>
      </w:r>
    </w:p>
    <w:p w14:paraId="7B89ADF1" w14:textId="620037F0" w:rsidR="00FA7EE4" w:rsidRPr="00BE24CC" w:rsidRDefault="00FA7EE4" w:rsidP="00FA7EE4">
      <w:pPr>
        <w:spacing w:after="0" w:line="276" w:lineRule="auto"/>
        <w:jc w:val="center"/>
        <w:rPr>
          <w:rFonts w:ascii="Montserrat ExtraBold" w:hAnsi="Montserrat ExtraBold"/>
          <w:lang w:val="en-GB"/>
        </w:rPr>
      </w:pPr>
      <w:r w:rsidRPr="00BE24CC">
        <w:rPr>
          <w:rFonts w:ascii="Montserrat ExtraBold" w:hAnsi="Montserrat ExtraBold"/>
          <w:lang w:val="en-GB"/>
        </w:rPr>
        <w:t xml:space="preserve">IFAA </w:t>
      </w:r>
      <w:r w:rsidR="004A7175" w:rsidRPr="00BE24CC">
        <w:rPr>
          <w:rFonts w:ascii="Montserrat ExtraBold" w:hAnsi="Montserrat ExtraBold"/>
          <w:lang w:val="en-GB"/>
        </w:rPr>
        <w:t>action</w:t>
      </w:r>
      <w:r w:rsidRPr="00BE24CC">
        <w:rPr>
          <w:rFonts w:ascii="Montserrat ExtraBold" w:hAnsi="Montserrat ExtraBold"/>
          <w:lang w:val="en-GB"/>
        </w:rPr>
        <w:t xml:space="preserve"> plan</w:t>
      </w:r>
    </w:p>
    <w:p w14:paraId="6BE2EB49" w14:textId="77777777" w:rsidR="00FA7EE4" w:rsidRPr="00FA7EE4" w:rsidRDefault="00FA7EE4" w:rsidP="00FA7EE4">
      <w:pPr>
        <w:spacing w:after="0" w:line="276" w:lineRule="auto"/>
        <w:rPr>
          <w:lang w:val="en-GB"/>
        </w:rPr>
      </w:pPr>
      <w:bookmarkStart w:id="0" w:name="_GoBack"/>
      <w:bookmarkEnd w:id="0"/>
    </w:p>
    <w:p w14:paraId="7B694FB8" w14:textId="77777777" w:rsidR="00FA7EE4" w:rsidRPr="00FA7EE4" w:rsidRDefault="00FA7EE4" w:rsidP="00FA7EE4">
      <w:pPr>
        <w:spacing w:after="0" w:line="276" w:lineRule="auto"/>
        <w:rPr>
          <w:lang w:val="en-GB"/>
        </w:rPr>
      </w:pPr>
    </w:p>
    <w:p w14:paraId="12243DF5" w14:textId="77777777" w:rsidR="00FA7EE4" w:rsidRPr="00FA7EE4" w:rsidRDefault="00FA7EE4" w:rsidP="00FA7EE4">
      <w:pPr>
        <w:spacing w:after="0" w:line="276" w:lineRule="auto"/>
        <w:rPr>
          <w:lang w:val="en-GB"/>
        </w:rPr>
      </w:pPr>
    </w:p>
    <w:p w14:paraId="13699A14" w14:textId="61687E95" w:rsidR="00FA7EE4" w:rsidRPr="00FA7EE4" w:rsidRDefault="00BB21E2" w:rsidP="00FA7EE4">
      <w:pPr>
        <w:spacing w:after="0" w:line="276" w:lineRule="auto"/>
        <w:rPr>
          <w:lang w:val="en-GB"/>
        </w:rPr>
      </w:pPr>
      <w:r>
        <w:rPr>
          <w:lang w:val="en-GB"/>
        </w:rPr>
        <w:t>As part of the IFAA process</w:t>
      </w:r>
      <w:r w:rsidR="00FA7EE4" w:rsidRPr="00FA7EE4">
        <w:rPr>
          <w:lang w:val="en-GB"/>
        </w:rPr>
        <w:t>, the purpose of this</w:t>
      </w:r>
      <w:r w:rsidR="004A7175">
        <w:rPr>
          <w:lang w:val="en-GB"/>
        </w:rPr>
        <w:t xml:space="preserve"> action</w:t>
      </w:r>
      <w:r w:rsidR="00FA7EE4" w:rsidRPr="00FA7EE4">
        <w:rPr>
          <w:lang w:val="en-GB"/>
        </w:rPr>
        <w:t xml:space="preserve"> plan is to list the National Society’s action points to strengthen first aid education during the upcoming one to five years, based on their overall IFAA experience and lessons learned. </w:t>
      </w:r>
    </w:p>
    <w:p w14:paraId="55489BF9" w14:textId="77777777" w:rsidR="00FA7EE4" w:rsidRPr="00FA7EE4" w:rsidRDefault="00FA7EE4" w:rsidP="00FA7EE4">
      <w:pPr>
        <w:spacing w:after="0" w:line="276" w:lineRule="auto"/>
        <w:rPr>
          <w:lang w:val="en-GB"/>
        </w:rPr>
      </w:pPr>
      <w:r w:rsidRPr="00FA7EE4">
        <w:rPr>
          <w:lang w:val="en-GB"/>
        </w:rPr>
        <w:t xml:space="preserve">Action points are proposed by the National Society, with facilitation from the IFAA Representative if needed. We encourage to focus on five action points maximum. </w:t>
      </w:r>
    </w:p>
    <w:p w14:paraId="5D948DD3" w14:textId="00CD16E4" w:rsidR="00FA7EE4" w:rsidRPr="00FA7EE4" w:rsidRDefault="00FA7EE4" w:rsidP="00FA7EE4">
      <w:pPr>
        <w:spacing w:after="0" w:line="276" w:lineRule="auto"/>
        <w:rPr>
          <w:lang w:val="en-GB"/>
        </w:rPr>
      </w:pPr>
      <w:r w:rsidRPr="00FA7EE4">
        <w:rPr>
          <w:lang w:val="en-GB"/>
        </w:rPr>
        <w:t xml:space="preserve">For each item, please indicate the expected support. </w:t>
      </w:r>
    </w:p>
    <w:p w14:paraId="2711C6D9" w14:textId="77777777" w:rsidR="00FA7EE4" w:rsidRPr="00FA7EE4" w:rsidRDefault="00FA7EE4" w:rsidP="00FA7EE4">
      <w:pPr>
        <w:spacing w:after="0" w:line="276" w:lineRule="auto"/>
        <w:rPr>
          <w:lang w:val="en-GB"/>
        </w:rPr>
      </w:pPr>
      <w:r w:rsidRPr="00FA7EE4">
        <w:rPr>
          <w:lang w:val="en-GB"/>
        </w:rPr>
        <w:t xml:space="preserve">If relevant, it is possible to propose specific action points for one provincial branch or more. </w:t>
      </w:r>
    </w:p>
    <w:p w14:paraId="70063B96" w14:textId="6112F3A4" w:rsidR="00962AA7" w:rsidRPr="00FA7EE4" w:rsidRDefault="00FA7EE4" w:rsidP="006D354E">
      <w:pPr>
        <w:spacing w:after="0" w:line="276" w:lineRule="auto"/>
        <w:rPr>
          <w:lang w:val="en-GB"/>
        </w:rPr>
      </w:pPr>
      <w:r w:rsidRPr="00FA7EE4">
        <w:rPr>
          <w:lang w:val="en-GB"/>
        </w:rPr>
        <w:t xml:space="preserve">Once the plan is proposed by the National Society with facilitation from the IFAA Representative, </w:t>
      </w:r>
      <w:r w:rsidR="006D354E">
        <w:rPr>
          <w:lang w:val="en-GB"/>
        </w:rPr>
        <w:t>the GFARC and other involved stakeholders</w:t>
      </w:r>
      <w:r w:rsidRPr="00FA7EE4">
        <w:rPr>
          <w:lang w:val="en-GB"/>
        </w:rPr>
        <w:t xml:space="preserve"> will provide feedback on each action point proposed.</w:t>
      </w:r>
    </w:p>
    <w:p w14:paraId="3A28D1A5" w14:textId="77777777" w:rsidR="00FA7EE4" w:rsidRPr="00FA7EE4" w:rsidRDefault="00FA7EE4" w:rsidP="00FA7EE4">
      <w:pPr>
        <w:spacing w:after="0" w:line="276" w:lineRule="auto"/>
        <w:rPr>
          <w:lang w:val="en-GB"/>
        </w:rPr>
      </w:pPr>
    </w:p>
    <w:tbl>
      <w:tblPr>
        <w:tblW w:w="13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4253"/>
        <w:gridCol w:w="3260"/>
        <w:gridCol w:w="3076"/>
        <w:gridCol w:w="2841"/>
      </w:tblGrid>
      <w:tr w:rsidR="00FA7EE4" w:rsidRPr="00FA7EE4" w14:paraId="14F40EDD" w14:textId="77777777" w:rsidTr="00FA7EE4">
        <w:tc>
          <w:tcPr>
            <w:tcW w:w="561" w:type="dxa"/>
            <w:shd w:val="clear" w:color="auto" w:fill="F2F2F2"/>
          </w:tcPr>
          <w:p w14:paraId="4AFF6D00" w14:textId="77777777" w:rsidR="00FA7EE4" w:rsidRPr="00FA7EE4" w:rsidRDefault="00FA7EE4" w:rsidP="00FA7EE4">
            <w:pPr>
              <w:spacing w:after="0" w:line="276" w:lineRule="auto"/>
              <w:jc w:val="both"/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</w:pPr>
          </w:p>
        </w:tc>
        <w:tc>
          <w:tcPr>
            <w:tcW w:w="4253" w:type="dxa"/>
            <w:shd w:val="clear" w:color="auto" w:fill="F2F2F2"/>
          </w:tcPr>
          <w:p w14:paraId="44056C78" w14:textId="77777777" w:rsidR="00FA7EE4" w:rsidRPr="00FA7EE4" w:rsidRDefault="00FA7EE4" w:rsidP="00FA7EE4">
            <w:pPr>
              <w:spacing w:after="0" w:line="276" w:lineRule="auto"/>
              <w:jc w:val="both"/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</w:pPr>
            <w:r w:rsidRPr="00FA7EE4"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  <w:t>Action point</w:t>
            </w:r>
          </w:p>
        </w:tc>
        <w:tc>
          <w:tcPr>
            <w:tcW w:w="3260" w:type="dxa"/>
            <w:shd w:val="clear" w:color="auto" w:fill="F2F2F2"/>
          </w:tcPr>
          <w:p w14:paraId="1F1F1EC6" w14:textId="77777777" w:rsidR="00FA7EE4" w:rsidRPr="00FA7EE4" w:rsidRDefault="00FA7EE4" w:rsidP="00FA7EE4">
            <w:pPr>
              <w:spacing w:after="0" w:line="276" w:lineRule="auto"/>
              <w:jc w:val="both"/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</w:pPr>
            <w:r w:rsidRPr="00FA7EE4"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  <w:t xml:space="preserve">Stakeholders concerned </w:t>
            </w:r>
          </w:p>
        </w:tc>
        <w:tc>
          <w:tcPr>
            <w:tcW w:w="3076" w:type="dxa"/>
            <w:shd w:val="clear" w:color="auto" w:fill="F2F2F2"/>
          </w:tcPr>
          <w:p w14:paraId="07EC49FB" w14:textId="70AB953E" w:rsidR="00FA7EE4" w:rsidRPr="00FA7EE4" w:rsidRDefault="00FA7EE4" w:rsidP="006D354E">
            <w:pPr>
              <w:spacing w:after="0" w:line="276" w:lineRule="auto"/>
              <w:jc w:val="both"/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</w:pPr>
            <w:r w:rsidRPr="00FA7EE4"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  <w:t xml:space="preserve">Request for </w:t>
            </w:r>
            <w:sdt>
              <w:sdtPr>
                <w:rPr>
                  <w:rFonts w:ascii="HelveticaRounded LT Std Bd" w:hAnsi="HelveticaRounded LT Std Bd"/>
                  <w:sz w:val="20"/>
                  <w:szCs w:val="20"/>
                  <w:lang w:val="en-GB"/>
                </w:rPr>
                <w:tag w:val="goog_rdk_2"/>
                <w:id w:val="2032375737"/>
              </w:sdtPr>
              <w:sdtEndPr/>
              <w:sdtContent/>
            </w:sdt>
            <w:r w:rsidRPr="00FA7EE4"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  <w:t xml:space="preserve">GFARC and/or </w:t>
            </w:r>
            <w:r w:rsidR="006D354E"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  <w:t>other support</w:t>
            </w:r>
          </w:p>
        </w:tc>
        <w:tc>
          <w:tcPr>
            <w:tcW w:w="2841" w:type="dxa"/>
            <w:shd w:val="clear" w:color="auto" w:fill="F2F2F2"/>
          </w:tcPr>
          <w:p w14:paraId="0EDED091" w14:textId="77777777" w:rsidR="00FA7EE4" w:rsidRPr="00FA7EE4" w:rsidRDefault="00FA7EE4" w:rsidP="00FA7EE4">
            <w:pPr>
              <w:spacing w:after="0" w:line="276" w:lineRule="auto"/>
              <w:jc w:val="both"/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</w:pPr>
            <w:r w:rsidRPr="00FA7EE4">
              <w:rPr>
                <w:rFonts w:ascii="HelveticaRounded LT Std Bd" w:eastAsia="Helvetica Neue" w:hAnsi="HelveticaRounded LT Std Bd" w:cs="Helvetica Neue"/>
                <w:sz w:val="20"/>
                <w:szCs w:val="20"/>
                <w:lang w:val="en-GB"/>
              </w:rPr>
              <w:t>Proposed timeline</w:t>
            </w:r>
          </w:p>
        </w:tc>
      </w:tr>
      <w:tr w:rsidR="00FA7EE4" w:rsidRPr="00FA7EE4" w14:paraId="4769AFDE" w14:textId="77777777" w:rsidTr="00FA7EE4">
        <w:tc>
          <w:tcPr>
            <w:tcW w:w="561" w:type="dxa"/>
          </w:tcPr>
          <w:p w14:paraId="71EAF2FF" w14:textId="77777777" w:rsidR="00FA7EE4" w:rsidRPr="00FA7EE4" w:rsidRDefault="00FA7EE4" w:rsidP="00FA7EE4">
            <w:pPr>
              <w:spacing w:after="0" w:line="276" w:lineRule="auto"/>
              <w:jc w:val="both"/>
              <w:rPr>
                <w:rFonts w:ascii="HelveticaRounded LT Std Bd" w:hAnsi="HelveticaRounded LT Std Bd"/>
                <w:sz w:val="20"/>
                <w:szCs w:val="20"/>
                <w:lang w:val="en-GB"/>
              </w:rPr>
            </w:pPr>
            <w:r w:rsidRPr="00FA7EE4">
              <w:rPr>
                <w:rFonts w:ascii="HelveticaRounded LT Std Bd" w:hAnsi="HelveticaRounded LT Std Bd"/>
                <w:sz w:val="20"/>
                <w:szCs w:val="20"/>
                <w:lang w:val="en-GB"/>
              </w:rPr>
              <w:t>1.</w:t>
            </w:r>
          </w:p>
        </w:tc>
        <w:tc>
          <w:tcPr>
            <w:tcW w:w="4253" w:type="dxa"/>
          </w:tcPr>
          <w:p w14:paraId="5D79221D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  <w:p w14:paraId="0B1E8795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  <w:p w14:paraId="2D4418D3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3260" w:type="dxa"/>
          </w:tcPr>
          <w:p w14:paraId="28792B40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3076" w:type="dxa"/>
          </w:tcPr>
          <w:p w14:paraId="4B7CEC7F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2841" w:type="dxa"/>
          </w:tcPr>
          <w:p w14:paraId="1289B176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</w:tr>
      <w:tr w:rsidR="00FA7EE4" w:rsidRPr="00FA7EE4" w14:paraId="2EC43E81" w14:textId="77777777" w:rsidTr="00FA7EE4">
        <w:trPr>
          <w:trHeight w:val="700"/>
        </w:trPr>
        <w:tc>
          <w:tcPr>
            <w:tcW w:w="561" w:type="dxa"/>
          </w:tcPr>
          <w:p w14:paraId="3C8CB3BC" w14:textId="77777777" w:rsidR="00FA7EE4" w:rsidRPr="00FA7EE4" w:rsidRDefault="00FA7EE4" w:rsidP="00FA7EE4">
            <w:pPr>
              <w:spacing w:after="0" w:line="276" w:lineRule="auto"/>
              <w:jc w:val="both"/>
              <w:rPr>
                <w:rFonts w:ascii="HelveticaRounded LT Std Bd" w:hAnsi="HelveticaRounded LT Std Bd"/>
                <w:sz w:val="20"/>
                <w:szCs w:val="20"/>
                <w:lang w:val="en-GB"/>
              </w:rPr>
            </w:pPr>
            <w:r w:rsidRPr="00FA7EE4">
              <w:rPr>
                <w:rFonts w:ascii="HelveticaRounded LT Std Bd" w:hAnsi="HelveticaRounded LT Std Bd"/>
                <w:sz w:val="20"/>
                <w:szCs w:val="20"/>
                <w:lang w:val="en-GB"/>
              </w:rPr>
              <w:t>2.</w:t>
            </w:r>
          </w:p>
        </w:tc>
        <w:tc>
          <w:tcPr>
            <w:tcW w:w="4253" w:type="dxa"/>
          </w:tcPr>
          <w:p w14:paraId="7CD81633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  <w:p w14:paraId="08D899BE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  <w:p w14:paraId="788EC132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3260" w:type="dxa"/>
          </w:tcPr>
          <w:p w14:paraId="17969DB1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3076" w:type="dxa"/>
          </w:tcPr>
          <w:p w14:paraId="082C52F7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2841" w:type="dxa"/>
          </w:tcPr>
          <w:p w14:paraId="27778208" w14:textId="77777777" w:rsidR="00FA7EE4" w:rsidRPr="00FA7EE4" w:rsidRDefault="00FA7EE4" w:rsidP="00FA7EE4">
            <w:pPr>
              <w:spacing w:after="0" w:line="276" w:lineRule="auto"/>
              <w:rPr>
                <w:lang w:val="en-GB"/>
              </w:rPr>
            </w:pPr>
          </w:p>
        </w:tc>
      </w:tr>
      <w:tr w:rsidR="00FA7EE4" w:rsidRPr="00FA7EE4" w14:paraId="48CC6FC7" w14:textId="77777777" w:rsidTr="00FA7EE4">
        <w:trPr>
          <w:trHeight w:val="700"/>
        </w:trPr>
        <w:tc>
          <w:tcPr>
            <w:tcW w:w="561" w:type="dxa"/>
          </w:tcPr>
          <w:p w14:paraId="399EAD49" w14:textId="77777777" w:rsidR="00FA7EE4" w:rsidRPr="00FA7EE4" w:rsidRDefault="00FA7EE4" w:rsidP="00FA7EE4">
            <w:pPr>
              <w:spacing w:after="0" w:line="276" w:lineRule="auto"/>
              <w:jc w:val="both"/>
              <w:rPr>
                <w:rFonts w:ascii="HelveticaRounded LT Std Bd" w:hAnsi="HelveticaRounded LT Std Bd"/>
                <w:sz w:val="20"/>
                <w:szCs w:val="20"/>
                <w:lang w:val="en-GB"/>
              </w:rPr>
            </w:pPr>
            <w:r w:rsidRPr="00FA7EE4">
              <w:rPr>
                <w:rFonts w:ascii="HelveticaRounded LT Std Bd" w:hAnsi="HelveticaRounded LT Std Bd"/>
                <w:sz w:val="20"/>
                <w:szCs w:val="20"/>
                <w:lang w:val="en-GB"/>
              </w:rPr>
              <w:t>3.</w:t>
            </w:r>
          </w:p>
        </w:tc>
        <w:tc>
          <w:tcPr>
            <w:tcW w:w="4253" w:type="dxa"/>
          </w:tcPr>
          <w:p w14:paraId="176A9BDE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3260" w:type="dxa"/>
          </w:tcPr>
          <w:p w14:paraId="6FEA5F06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3076" w:type="dxa"/>
          </w:tcPr>
          <w:p w14:paraId="0D4C5F0C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2841" w:type="dxa"/>
          </w:tcPr>
          <w:p w14:paraId="45E6F832" w14:textId="77777777" w:rsidR="00FA7EE4" w:rsidRPr="00FA7EE4" w:rsidRDefault="00FA7EE4" w:rsidP="00FA7EE4">
            <w:pPr>
              <w:spacing w:after="0" w:line="276" w:lineRule="auto"/>
              <w:rPr>
                <w:lang w:val="en-GB"/>
              </w:rPr>
            </w:pPr>
          </w:p>
        </w:tc>
      </w:tr>
      <w:tr w:rsidR="00FA7EE4" w:rsidRPr="00FA7EE4" w14:paraId="6E1187E1" w14:textId="77777777" w:rsidTr="00FA7EE4">
        <w:trPr>
          <w:trHeight w:val="700"/>
        </w:trPr>
        <w:tc>
          <w:tcPr>
            <w:tcW w:w="561" w:type="dxa"/>
          </w:tcPr>
          <w:p w14:paraId="65E9086C" w14:textId="77777777" w:rsidR="00FA7EE4" w:rsidRPr="00FA7EE4" w:rsidRDefault="00FA7EE4" w:rsidP="00FA7EE4">
            <w:pPr>
              <w:spacing w:after="0" w:line="276" w:lineRule="auto"/>
              <w:jc w:val="both"/>
              <w:rPr>
                <w:rFonts w:ascii="HelveticaRounded LT Std Bd" w:hAnsi="HelveticaRounded LT Std Bd"/>
                <w:sz w:val="20"/>
                <w:szCs w:val="20"/>
                <w:lang w:val="en-GB"/>
              </w:rPr>
            </w:pPr>
            <w:r w:rsidRPr="00FA7EE4">
              <w:rPr>
                <w:rFonts w:ascii="HelveticaRounded LT Std Bd" w:hAnsi="HelveticaRounded LT Std Bd"/>
                <w:sz w:val="20"/>
                <w:szCs w:val="20"/>
                <w:lang w:val="en-GB"/>
              </w:rPr>
              <w:t>4.</w:t>
            </w:r>
          </w:p>
        </w:tc>
        <w:tc>
          <w:tcPr>
            <w:tcW w:w="4253" w:type="dxa"/>
          </w:tcPr>
          <w:p w14:paraId="37F4FCFD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3260" w:type="dxa"/>
          </w:tcPr>
          <w:p w14:paraId="4C9A4303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3076" w:type="dxa"/>
          </w:tcPr>
          <w:p w14:paraId="5509A068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2841" w:type="dxa"/>
          </w:tcPr>
          <w:p w14:paraId="6D5B9935" w14:textId="77777777" w:rsidR="00FA7EE4" w:rsidRPr="00FA7EE4" w:rsidRDefault="00FA7EE4" w:rsidP="00FA7EE4">
            <w:pPr>
              <w:spacing w:after="0" w:line="276" w:lineRule="auto"/>
              <w:rPr>
                <w:lang w:val="en-GB"/>
              </w:rPr>
            </w:pPr>
          </w:p>
        </w:tc>
      </w:tr>
      <w:tr w:rsidR="00FA7EE4" w:rsidRPr="00FA7EE4" w14:paraId="3CC83F93" w14:textId="77777777" w:rsidTr="00FA7EE4">
        <w:tc>
          <w:tcPr>
            <w:tcW w:w="561" w:type="dxa"/>
          </w:tcPr>
          <w:p w14:paraId="3196A5DF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  <w:r w:rsidRPr="00FA7EE4">
              <w:rPr>
                <w:rFonts w:ascii="HelveticaRounded LT Std Bd" w:hAnsi="HelveticaRounded LT Std Bd"/>
                <w:sz w:val="20"/>
                <w:szCs w:val="20"/>
                <w:lang w:val="en-GB"/>
              </w:rPr>
              <w:t>5.</w:t>
            </w:r>
            <w:r w:rsidRPr="00FA7EE4">
              <w:rPr>
                <w:lang w:val="en-GB"/>
              </w:rPr>
              <w:t xml:space="preserve"> </w:t>
            </w:r>
          </w:p>
        </w:tc>
        <w:tc>
          <w:tcPr>
            <w:tcW w:w="4253" w:type="dxa"/>
          </w:tcPr>
          <w:p w14:paraId="7B661B79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  <w:p w14:paraId="1738EB65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  <w:p w14:paraId="7DAB2DAC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  <w:p w14:paraId="2B04113A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3260" w:type="dxa"/>
          </w:tcPr>
          <w:p w14:paraId="5615ADB8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3076" w:type="dxa"/>
          </w:tcPr>
          <w:p w14:paraId="18B648E8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2841" w:type="dxa"/>
          </w:tcPr>
          <w:p w14:paraId="2417B6B0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</w:tr>
      <w:tr w:rsidR="00FA7EE4" w:rsidRPr="00FA7EE4" w14:paraId="3590C870" w14:textId="77777777" w:rsidTr="00FA7EE4">
        <w:tc>
          <w:tcPr>
            <w:tcW w:w="13991" w:type="dxa"/>
            <w:gridSpan w:val="5"/>
            <w:shd w:val="clear" w:color="auto" w:fill="D9D9D9"/>
          </w:tcPr>
          <w:p w14:paraId="693BC8BC" w14:textId="77777777" w:rsidR="00FA7EE4" w:rsidRPr="00FA7EE4" w:rsidRDefault="00FA7EE4" w:rsidP="00FA7EE4">
            <w:pPr>
              <w:spacing w:after="0" w:line="276" w:lineRule="auto"/>
              <w:ind w:left="360"/>
              <w:jc w:val="both"/>
              <w:rPr>
                <w:rFonts w:ascii="HelveticaRounded LT Std Bd" w:eastAsia="Helvetica Neue" w:hAnsi="HelveticaRounded LT Std Bd" w:cs="Helvetica Neue"/>
                <w:lang w:val="en-GB"/>
              </w:rPr>
            </w:pPr>
            <w:r w:rsidRPr="00FA7EE4">
              <w:rPr>
                <w:rFonts w:ascii="HelveticaRounded LT Std Bd" w:eastAsia="Helvetica Neue" w:hAnsi="HelveticaRounded LT Std Bd" w:cs="Helvetica Neue"/>
                <w:lang w:val="en-GB"/>
              </w:rPr>
              <w:t xml:space="preserve">Reporting </w:t>
            </w:r>
          </w:p>
        </w:tc>
      </w:tr>
      <w:tr w:rsidR="00FA7EE4" w:rsidRPr="00FA7EE4" w14:paraId="3B28C4EB" w14:textId="77777777" w:rsidTr="00FA7EE4">
        <w:tc>
          <w:tcPr>
            <w:tcW w:w="561" w:type="dxa"/>
          </w:tcPr>
          <w:p w14:paraId="0E6638FF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</w:p>
        </w:tc>
        <w:tc>
          <w:tcPr>
            <w:tcW w:w="4253" w:type="dxa"/>
          </w:tcPr>
          <w:p w14:paraId="02A54CFB" w14:textId="77777777" w:rsidR="00FA7EE4" w:rsidRPr="00FA7EE4" w:rsidRDefault="00FA7EE4" w:rsidP="00FA7EE4">
            <w:pPr>
              <w:spacing w:after="0" w:line="276" w:lineRule="auto"/>
              <w:jc w:val="both"/>
              <w:rPr>
                <w:highlight w:val="yellow"/>
                <w:lang w:val="en-GB"/>
              </w:rPr>
            </w:pPr>
            <w:r w:rsidRPr="00FA7EE4">
              <w:rPr>
                <w:lang w:val="en-GB"/>
              </w:rPr>
              <w:t>Annual IFAA report on the IFAA action plan progress</w:t>
            </w:r>
          </w:p>
        </w:tc>
        <w:tc>
          <w:tcPr>
            <w:tcW w:w="6336" w:type="dxa"/>
            <w:gridSpan w:val="2"/>
          </w:tcPr>
          <w:p w14:paraId="1A86F175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  <w:r w:rsidRPr="00FA7EE4">
              <w:rPr>
                <w:lang w:val="en-GB"/>
              </w:rPr>
              <w:t>Annual report produced by both the National Society and GFARC</w:t>
            </w:r>
          </w:p>
        </w:tc>
        <w:tc>
          <w:tcPr>
            <w:tcW w:w="2841" w:type="dxa"/>
          </w:tcPr>
          <w:p w14:paraId="45E9D8CB" w14:textId="77777777" w:rsid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  <w:r>
              <w:rPr>
                <w:lang w:val="en-GB"/>
              </w:rPr>
              <w:t>End of year #1</w:t>
            </w:r>
          </w:p>
          <w:p w14:paraId="372EB292" w14:textId="77777777" w:rsid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  <w:r>
              <w:rPr>
                <w:lang w:val="en-GB"/>
              </w:rPr>
              <w:t>End of year #2</w:t>
            </w:r>
          </w:p>
          <w:p w14:paraId="1585682E" w14:textId="77777777" w:rsid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  <w:r>
              <w:rPr>
                <w:lang w:val="en-GB"/>
              </w:rPr>
              <w:t>End of year #3</w:t>
            </w:r>
          </w:p>
          <w:p w14:paraId="39FA57B8" w14:textId="77777777" w:rsid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  <w:r>
              <w:rPr>
                <w:lang w:val="en-GB"/>
              </w:rPr>
              <w:t>End of year #4</w:t>
            </w:r>
          </w:p>
          <w:p w14:paraId="540411B9" w14:textId="77777777" w:rsidR="00FA7EE4" w:rsidRPr="00FA7EE4" w:rsidRDefault="00FA7EE4" w:rsidP="00FA7EE4">
            <w:pPr>
              <w:spacing w:after="0" w:line="276" w:lineRule="auto"/>
              <w:jc w:val="both"/>
              <w:rPr>
                <w:lang w:val="en-GB"/>
              </w:rPr>
            </w:pPr>
            <w:r>
              <w:rPr>
                <w:lang w:val="en-GB"/>
              </w:rPr>
              <w:t>End of year #5</w:t>
            </w:r>
          </w:p>
        </w:tc>
      </w:tr>
    </w:tbl>
    <w:p w14:paraId="261735A0" w14:textId="77777777" w:rsidR="00FA7EE4" w:rsidRPr="00FA7EE4" w:rsidRDefault="00FA7EE4" w:rsidP="00FA7EE4">
      <w:pPr>
        <w:spacing w:after="0" w:line="276" w:lineRule="auto"/>
        <w:rPr>
          <w:lang w:val="en-GB"/>
        </w:rPr>
      </w:pPr>
    </w:p>
    <w:sectPr w:rsidR="00FA7EE4" w:rsidRPr="00FA7EE4" w:rsidSect="00FA7EE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EDB34" w14:textId="77777777" w:rsidR="00675432" w:rsidRDefault="00675432" w:rsidP="00FA7EE4">
      <w:pPr>
        <w:spacing w:after="0" w:line="240" w:lineRule="auto"/>
      </w:pPr>
      <w:r>
        <w:separator/>
      </w:r>
    </w:p>
  </w:endnote>
  <w:endnote w:type="continuationSeparator" w:id="0">
    <w:p w14:paraId="07835A4D" w14:textId="77777777" w:rsidR="00675432" w:rsidRDefault="00675432" w:rsidP="00FA7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HelveticaRounded LT Std B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35098" w14:textId="77777777" w:rsidR="00675432" w:rsidRDefault="00675432" w:rsidP="00FA7EE4">
      <w:pPr>
        <w:spacing w:after="0" w:line="240" w:lineRule="auto"/>
      </w:pPr>
      <w:r>
        <w:separator/>
      </w:r>
    </w:p>
  </w:footnote>
  <w:footnote w:type="continuationSeparator" w:id="0">
    <w:p w14:paraId="69FC53D4" w14:textId="77777777" w:rsidR="00675432" w:rsidRDefault="00675432" w:rsidP="00FA7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AC5CA" w14:textId="0424AEC4" w:rsidR="00FA7EE4" w:rsidRPr="00FA7EE4" w:rsidRDefault="00FA7EE4" w:rsidP="00FA7EE4">
    <w:pPr>
      <w:pStyle w:val="En-tte"/>
      <w:jc w:val="right"/>
      <w:rPr>
        <w:sz w:val="18"/>
        <w:szCs w:val="18"/>
        <w:lang w:val="en-GB"/>
      </w:rPr>
    </w:pPr>
    <w:r w:rsidRPr="00FA7EE4">
      <w:rPr>
        <w:noProof/>
        <w:sz w:val="18"/>
        <w:szCs w:val="18"/>
        <w:lang w:eastAsia="fr-FR"/>
      </w:rPr>
      <w:drawing>
        <wp:anchor distT="0" distB="0" distL="114300" distR="114300" simplePos="0" relativeHeight="251659264" behindDoc="0" locked="0" layoutInCell="1" hidden="0" allowOverlap="1" wp14:anchorId="3AEF8A50" wp14:editId="1299E739">
          <wp:simplePos x="0" y="0"/>
          <wp:positionH relativeFrom="margin">
            <wp:posOffset>-448945</wp:posOffset>
          </wp:positionH>
          <wp:positionV relativeFrom="paragraph">
            <wp:posOffset>-316230</wp:posOffset>
          </wp:positionV>
          <wp:extent cx="1828800" cy="755650"/>
          <wp:effectExtent l="0" t="0" r="0" b="635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0" cy="755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A7EE4">
      <w:rPr>
        <w:sz w:val="18"/>
        <w:szCs w:val="18"/>
        <w:lang w:val="en-GB"/>
      </w:rPr>
      <w:t xml:space="preserve">IFAA </w:t>
    </w:r>
    <w:r w:rsidR="004A7175">
      <w:rPr>
        <w:sz w:val="18"/>
        <w:szCs w:val="18"/>
        <w:lang w:val="en-GB"/>
      </w:rPr>
      <w:t>action</w:t>
    </w:r>
    <w:r w:rsidRPr="00FA7EE4">
      <w:rPr>
        <w:sz w:val="18"/>
        <w:szCs w:val="18"/>
        <w:lang w:val="en-GB"/>
      </w:rPr>
      <w:t xml:space="preserve"> plan </w:t>
    </w:r>
    <w:r w:rsidR="004A7175">
      <w:rPr>
        <w:sz w:val="18"/>
        <w:szCs w:val="18"/>
        <w:lang w:val="en-GB"/>
      </w:rPr>
      <w:t>[</w:t>
    </w:r>
    <w:r w:rsidR="00BF5EC5">
      <w:rPr>
        <w:sz w:val="18"/>
        <w:szCs w:val="18"/>
        <w:lang w:val="en-GB"/>
      </w:rPr>
      <w:t xml:space="preserve">template] </w:t>
    </w:r>
    <w:r w:rsidRPr="00FA7EE4">
      <w:rPr>
        <w:sz w:val="18"/>
        <w:szCs w:val="18"/>
        <w:lang w:val="en-GB"/>
      </w:rPr>
      <w:t xml:space="preserve">– Updated </w:t>
    </w:r>
    <w:r w:rsidR="004A7175">
      <w:rPr>
        <w:sz w:val="18"/>
        <w:szCs w:val="18"/>
        <w:lang w:val="en-GB"/>
      </w:rPr>
      <w:t>February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EE4"/>
    <w:rsid w:val="000D3E5C"/>
    <w:rsid w:val="004A7175"/>
    <w:rsid w:val="00675432"/>
    <w:rsid w:val="006D354E"/>
    <w:rsid w:val="0089591F"/>
    <w:rsid w:val="00962AA7"/>
    <w:rsid w:val="00990F77"/>
    <w:rsid w:val="00B25439"/>
    <w:rsid w:val="00B319DA"/>
    <w:rsid w:val="00B90DF6"/>
    <w:rsid w:val="00BB21E2"/>
    <w:rsid w:val="00BE24CC"/>
    <w:rsid w:val="00BF5EC5"/>
    <w:rsid w:val="00C53BEB"/>
    <w:rsid w:val="00D5438B"/>
    <w:rsid w:val="00FA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E70D"/>
  <w15:chartTrackingRefBased/>
  <w15:docId w15:val="{C6D1CBC0-7B9B-4237-BC33-6E30AED1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A7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7EE4"/>
  </w:style>
  <w:style w:type="paragraph" w:styleId="Pieddepage">
    <w:name w:val="footer"/>
    <w:basedOn w:val="Normal"/>
    <w:link w:val="PieddepageCar"/>
    <w:uiPriority w:val="99"/>
    <w:unhideWhenUsed/>
    <w:rsid w:val="00FA7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7EE4"/>
  </w:style>
  <w:style w:type="character" w:styleId="Marquedecommentaire">
    <w:name w:val="annotation reference"/>
    <w:basedOn w:val="Policepardfaut"/>
    <w:uiPriority w:val="99"/>
    <w:semiHidden/>
    <w:unhideWhenUsed/>
    <w:rsid w:val="008959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591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9591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59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591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5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591F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B21E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B21E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B21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DA6E9-5B57-4B8C-AD5A-329A4B9A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Croix-Rouge française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Boutonne Maud</dc:creator>
  <cp:keywords/>
  <dc:description/>
  <cp:lastModifiedBy>BOUCIF Salome</cp:lastModifiedBy>
  <cp:revision>10</cp:revision>
  <dcterms:created xsi:type="dcterms:W3CDTF">2020-10-09T04:52:00Z</dcterms:created>
  <dcterms:modified xsi:type="dcterms:W3CDTF">2021-02-14T17:31:00Z</dcterms:modified>
</cp:coreProperties>
</file>